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54" w:rsidRDefault="00837D5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ORVIETO </w:t>
      </w:r>
      <w:r w:rsidR="00791C58">
        <w:rPr>
          <w:color w:val="000000"/>
          <w:sz w:val="24"/>
          <w:szCs w:val="24"/>
        </w:rPr>
        <w:t>1</w:t>
      </w:r>
      <w:r w:rsidR="009B42F4">
        <w:rPr>
          <w:color w:val="000000"/>
          <w:sz w:val="24"/>
          <w:szCs w:val="24"/>
        </w:rPr>
        <w:t>9</w:t>
      </w:r>
      <w:r>
        <w:rPr>
          <w:color w:val="000000"/>
          <w:sz w:val="24"/>
          <w:szCs w:val="24"/>
        </w:rPr>
        <w:t>.</w:t>
      </w:r>
      <w:r w:rsidR="00791C58">
        <w:rPr>
          <w:color w:val="000000"/>
          <w:sz w:val="24"/>
          <w:szCs w:val="24"/>
        </w:rPr>
        <w:t>1</w:t>
      </w:r>
      <w:r w:rsidR="009B42F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.2025</w:t>
      </w:r>
    </w:p>
    <w:p w:rsidR="009A7754" w:rsidRDefault="009A77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9A7754" w:rsidRDefault="00837D5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Presidente del Consiglio Comunale</w:t>
      </w:r>
    </w:p>
    <w:p w:rsidR="009A7754" w:rsidRDefault="009A775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</w:p>
    <w:p w:rsidR="009A7754" w:rsidRDefault="00837D50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 Sindaco del Comune di Orvieto</w:t>
      </w:r>
    </w:p>
    <w:p w:rsidR="009A7754" w:rsidRDefault="00837D50">
      <w:pPr>
        <w:pStyle w:val="Titolo1"/>
        <w:ind w:left="0"/>
        <w:jc w:val="left"/>
        <w:rPr>
          <w:b w:val="0"/>
        </w:rPr>
      </w:pPr>
      <w:r>
        <w:rPr>
          <w:b w:val="0"/>
        </w:rPr>
        <w:t>MOZIONE</w:t>
      </w:r>
    </w:p>
    <w:p w:rsidR="009A7754" w:rsidRDefault="00837D50">
      <w:pPr>
        <w:pBdr>
          <w:top w:val="nil"/>
          <w:left w:val="nil"/>
          <w:bottom w:val="nil"/>
          <w:right w:val="nil"/>
          <w:between w:val="nil"/>
        </w:pBdr>
        <w:tabs>
          <w:tab w:val="left" w:pos="1661"/>
        </w:tabs>
        <w:spacing w:before="114"/>
        <w:ind w:right="1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OGGETTO: ISTITUZIONE DEL CONSIGLIO COMUNALE DEI RAGAZZI E DELLE RAGAZZE DELLA CITTA' DI ORVIETO.</w:t>
      </w:r>
    </w:p>
    <w:p w:rsidR="009B42F4" w:rsidRDefault="00837D50" w:rsidP="009B42F4">
      <w:pPr>
        <w:pBdr>
          <w:top w:val="nil"/>
          <w:left w:val="nil"/>
          <w:bottom w:val="nil"/>
          <w:right w:val="nil"/>
          <w:between w:val="nil"/>
        </w:pBdr>
        <w:tabs>
          <w:tab w:val="left" w:pos="1661"/>
        </w:tabs>
        <w:spacing w:before="114"/>
        <w:ind w:left="1662" w:right="119" w:hanging="154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I sottoscritti consiglieri comunali</w:t>
      </w:r>
    </w:p>
    <w:p w:rsidR="009A7754" w:rsidRPr="009B42F4" w:rsidRDefault="00837D50" w:rsidP="009B42F4">
      <w:pPr>
        <w:pBdr>
          <w:top w:val="nil"/>
          <w:left w:val="nil"/>
          <w:bottom w:val="nil"/>
          <w:right w:val="nil"/>
          <w:between w:val="nil"/>
        </w:pBdr>
        <w:tabs>
          <w:tab w:val="left" w:pos="1661"/>
        </w:tabs>
        <w:ind w:left="1662" w:right="119" w:hanging="1546"/>
        <w:jc w:val="center"/>
        <w:rPr>
          <w:b/>
          <w:bCs/>
          <w:sz w:val="24"/>
          <w:szCs w:val="24"/>
        </w:rPr>
      </w:pPr>
      <w:r w:rsidRPr="009B42F4">
        <w:rPr>
          <w:b/>
          <w:bCs/>
          <w:sz w:val="24"/>
          <w:szCs w:val="24"/>
        </w:rPr>
        <w:t>Premesso che</w:t>
      </w:r>
    </w:p>
    <w:p w:rsidR="009A7754" w:rsidRDefault="00837D50" w:rsidP="009B4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13"/>
        <w:jc w:val="both"/>
        <w:rPr>
          <w:color w:val="000000"/>
        </w:rPr>
      </w:pPr>
      <w:r>
        <w:rPr>
          <w:color w:val="000000"/>
          <w:sz w:val="24"/>
          <w:szCs w:val="24"/>
        </w:rPr>
        <w:t>il Comune di Orvieto, in conformità all'art. 31 della Costituzione Italiana, ha il dovere di promuovere e tutelare la partecipazione giovanile alla vita pubblica e civile, riconoscendo il valore della rappresentanza e del contributo attivo dei giovani citt</w:t>
      </w:r>
      <w:r>
        <w:rPr>
          <w:color w:val="000000"/>
          <w:sz w:val="24"/>
          <w:szCs w:val="24"/>
        </w:rPr>
        <w:t xml:space="preserve">adini nel processo decisionale; </w:t>
      </w:r>
    </w:p>
    <w:p w:rsidR="009A7754" w:rsidRDefault="00837D50" w:rsidP="009B4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13"/>
        <w:jc w:val="both"/>
        <w:rPr>
          <w:color w:val="000000"/>
        </w:rPr>
      </w:pPr>
      <w:r>
        <w:rPr>
          <w:color w:val="000000"/>
          <w:sz w:val="24"/>
          <w:szCs w:val="24"/>
        </w:rPr>
        <w:t>L'art. 12 della Convenzione ONU sui Diritti dell'Infanzia e dell'Adolescenza (ratificata dall'Italia con la legge 27 maggio 1991, n. 176) riconosce il diritto dei giovani di esprimere liberamente le loro opinioni su tutte l</w:t>
      </w:r>
      <w:r>
        <w:rPr>
          <w:color w:val="000000"/>
          <w:sz w:val="24"/>
          <w:szCs w:val="24"/>
        </w:rPr>
        <w:t xml:space="preserve">e questioni che li riguardano, in funzione della loro età e maturità; </w:t>
      </w:r>
    </w:p>
    <w:p w:rsidR="009A7754" w:rsidRDefault="00837D50" w:rsidP="009B4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08"/>
        <w:jc w:val="both"/>
        <w:rPr>
          <w:color w:val="000000"/>
        </w:rPr>
      </w:pPr>
      <w:r>
        <w:rPr>
          <w:color w:val="000000"/>
          <w:sz w:val="24"/>
          <w:szCs w:val="24"/>
        </w:rPr>
        <w:t>La legge 285 del 28/8/1997 (“Disposizioni per la promozione dei diritti e delle opportunità per l’infanzia e l’adolescenza”) costituisce il primo caposaldo normativo dei Consigli comuna</w:t>
      </w:r>
      <w:r>
        <w:rPr>
          <w:color w:val="000000"/>
          <w:sz w:val="24"/>
          <w:szCs w:val="24"/>
        </w:rPr>
        <w:t>li dei ragazzi e delle ragazze a livello nazionale.</w:t>
      </w:r>
    </w:p>
    <w:p w:rsidR="009A7754" w:rsidRDefault="00837D50" w:rsidP="009B4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13"/>
        <w:jc w:val="both"/>
        <w:rPr>
          <w:color w:val="000000"/>
        </w:rPr>
      </w:pPr>
      <w:r>
        <w:rPr>
          <w:color w:val="000000"/>
          <w:sz w:val="24"/>
          <w:szCs w:val="24"/>
        </w:rPr>
        <w:t>La Risoluzione del Consiglio dell'Unione europea n.doc. 14426/21 richiama l'importanza di un maggiore coinvolgimento dei giovani nel dialogo con responsabili politici e incoraggia la partecipazione attiva</w:t>
      </w:r>
      <w:r>
        <w:rPr>
          <w:color w:val="000000"/>
          <w:sz w:val="24"/>
          <w:szCs w:val="24"/>
        </w:rPr>
        <w:t xml:space="preserve"> di giovani provenienti da diversi contesti e gruppi sociali. La risoluzione prende spunto anche da altre iniziative chiave, come le conclusioni sulla consapevolezza e l'impegno democratico e sul rafforzamento della governance multilivello per promuovere l</w:t>
      </w:r>
      <w:r>
        <w:rPr>
          <w:color w:val="000000"/>
          <w:sz w:val="24"/>
          <w:szCs w:val="24"/>
        </w:rPr>
        <w:t>a partecipazione giovanile ai processi decisionali.</w:t>
      </w:r>
    </w:p>
    <w:p w:rsidR="00DD7FE0" w:rsidRPr="00DD7FE0" w:rsidRDefault="00837D50" w:rsidP="009B4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10"/>
        <w:jc w:val="both"/>
        <w:rPr>
          <w:b/>
          <w:color w:val="000000"/>
          <w:sz w:val="24"/>
          <w:szCs w:val="24"/>
        </w:rPr>
      </w:pPr>
      <w:r w:rsidRPr="00DD7FE0">
        <w:rPr>
          <w:color w:val="000000"/>
          <w:sz w:val="24"/>
          <w:szCs w:val="24"/>
        </w:rPr>
        <w:t>Negli ultimi anni, in Italia, il numero dei C</w:t>
      </w:r>
      <w:r w:rsidR="00E349EB" w:rsidRPr="00DD7FE0">
        <w:rPr>
          <w:color w:val="000000"/>
          <w:sz w:val="24"/>
          <w:szCs w:val="24"/>
        </w:rPr>
        <w:t xml:space="preserve">onsigli Comunali dei ragazzi e delle ragazze </w:t>
      </w:r>
      <w:r w:rsidRPr="00DD7FE0">
        <w:rPr>
          <w:color w:val="000000"/>
          <w:sz w:val="24"/>
          <w:szCs w:val="24"/>
        </w:rPr>
        <w:t xml:space="preserve">è fortemente cresciuto ed è in continuo aumento grazie </w:t>
      </w:r>
      <w:r w:rsidR="00DD7FE0" w:rsidRPr="00DD7FE0">
        <w:rPr>
          <w:color w:val="000000"/>
          <w:sz w:val="24"/>
          <w:szCs w:val="24"/>
        </w:rPr>
        <w:t>anche al contributo fattivo delle scuole che costruiscono</w:t>
      </w:r>
      <w:r w:rsidRPr="00DD7FE0">
        <w:rPr>
          <w:color w:val="000000"/>
          <w:sz w:val="24"/>
          <w:szCs w:val="24"/>
        </w:rPr>
        <w:t xml:space="preserve"> percorsi </w:t>
      </w:r>
      <w:r w:rsidR="00DD7FE0" w:rsidRPr="00DD7FE0">
        <w:rPr>
          <w:color w:val="000000"/>
          <w:sz w:val="24"/>
          <w:szCs w:val="24"/>
        </w:rPr>
        <w:t xml:space="preserve">specifici </w:t>
      </w:r>
      <w:r w:rsidRPr="00DD7FE0">
        <w:rPr>
          <w:color w:val="000000"/>
          <w:sz w:val="24"/>
          <w:szCs w:val="24"/>
        </w:rPr>
        <w:t>per permettere ai ragazzi/e di conoscere e sperimentare i valori della partecipazione</w:t>
      </w:r>
      <w:r w:rsidR="00DD7FE0">
        <w:rPr>
          <w:color w:val="000000"/>
          <w:sz w:val="24"/>
          <w:szCs w:val="24"/>
        </w:rPr>
        <w:t>.</w:t>
      </w:r>
    </w:p>
    <w:p w:rsidR="009A7754" w:rsidRPr="00DD7FE0" w:rsidRDefault="00837D50" w:rsidP="009B42F4">
      <w:p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left="344" w:right="110"/>
        <w:jc w:val="center"/>
        <w:rPr>
          <w:b/>
          <w:color w:val="000000"/>
          <w:sz w:val="24"/>
          <w:szCs w:val="24"/>
        </w:rPr>
      </w:pPr>
      <w:r w:rsidRPr="00DD7FE0">
        <w:rPr>
          <w:b/>
          <w:color w:val="000000"/>
          <w:sz w:val="24"/>
          <w:szCs w:val="24"/>
        </w:rPr>
        <w:t>Ritenuto che</w:t>
      </w:r>
    </w:p>
    <w:p w:rsidR="009A7754" w:rsidRDefault="00837D50" w:rsidP="009B4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Il valore del bene comune, della solidarietà, della responsabilità, della legalità, del rispetto delle regole, dell’appartenenza alla </w:t>
      </w:r>
      <w:r>
        <w:rPr>
          <w:color w:val="000000"/>
          <w:sz w:val="24"/>
          <w:szCs w:val="24"/>
        </w:rPr>
        <w:t>propria comunità e della cura per il bene pubblico può essere divulgato attraverso strumenti partecipativi come il Consiglio comunale dei ragazzi e delle ragazze, al fine di avvicinare i giovani alle istituzioni pubbliche e alla partecipazione attiva nella</w:t>
      </w:r>
      <w:r>
        <w:rPr>
          <w:color w:val="000000"/>
          <w:sz w:val="24"/>
          <w:szCs w:val="24"/>
        </w:rPr>
        <w:t xml:space="preserve"> cura del proprio territorio in modo diretto.</w:t>
      </w:r>
    </w:p>
    <w:p w:rsidR="009A7754" w:rsidRDefault="00837D50" w:rsidP="009B4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05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“La democrazia si impara da piccoli” e i Consigli comunali dei ragazzi e delle ragazze possono essere strumento di cittadinanza attiva, educazione civica e di rappresentanza delle nuove generazioni, ovvero la </w:t>
      </w:r>
      <w:r>
        <w:rPr>
          <w:color w:val="000000"/>
          <w:sz w:val="24"/>
          <w:szCs w:val="24"/>
        </w:rPr>
        <w:t>prima esperienza di democrazia. Anche così si contrasta l’astensionismo e la disaffezione per la politica, educando alla democrazia e coinvolgendo in modo attivo le nuove generazioni in un’esperienza diretta.</w:t>
      </w:r>
    </w:p>
    <w:p w:rsidR="009B42F4" w:rsidRPr="009B42F4" w:rsidRDefault="00837D50" w:rsidP="009B4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10"/>
        <w:jc w:val="both"/>
        <w:rPr>
          <w:color w:val="000000"/>
        </w:rPr>
      </w:pPr>
      <w:r>
        <w:rPr>
          <w:color w:val="000000"/>
          <w:sz w:val="24"/>
          <w:szCs w:val="24"/>
        </w:rPr>
        <w:t>I CCR divengono la sede elettiva in cui i giova</w:t>
      </w:r>
      <w:r>
        <w:rPr>
          <w:color w:val="000000"/>
          <w:sz w:val="24"/>
          <w:szCs w:val="24"/>
        </w:rPr>
        <w:t>ni elaborano proposte per migliorare la città in cui vivono, esprimere le proprie opinioni e discutere liberamente nel rispetto delle regole. Tale attività consente la partecipazione dei giovani alla vita della collettività, realizzando progetti sul territ</w:t>
      </w:r>
      <w:r>
        <w:rPr>
          <w:color w:val="000000"/>
          <w:sz w:val="24"/>
          <w:szCs w:val="24"/>
        </w:rPr>
        <w:t>orio ed educando alla autonomia di scelta, alla partecipazione e alla responsabilità.</w:t>
      </w:r>
    </w:p>
    <w:p w:rsidR="009A7754" w:rsidRPr="009B42F4" w:rsidRDefault="00837D50" w:rsidP="009B42F4">
      <w:p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left="344" w:right="110"/>
        <w:jc w:val="center"/>
        <w:rPr>
          <w:b/>
          <w:bCs/>
          <w:color w:val="000000"/>
          <w:sz w:val="24"/>
          <w:szCs w:val="24"/>
        </w:rPr>
      </w:pPr>
      <w:r w:rsidRPr="009B42F4">
        <w:rPr>
          <w:b/>
          <w:bCs/>
          <w:sz w:val="24"/>
          <w:szCs w:val="24"/>
        </w:rPr>
        <w:t>Rilevato che</w:t>
      </w:r>
    </w:p>
    <w:p w:rsidR="009A7754" w:rsidRDefault="00837D50" w:rsidP="009B42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07"/>
        <w:jc w:val="both"/>
        <w:rPr>
          <w:color w:val="000000"/>
        </w:rPr>
      </w:pPr>
      <w:r>
        <w:rPr>
          <w:color w:val="000000"/>
          <w:sz w:val="24"/>
          <w:szCs w:val="24"/>
        </w:rPr>
        <w:t>nel periodo post pandemico si è registrato un forte aumento del disagio giovanile e del distacco dei giovani dalla cittadinanza attiva.</w:t>
      </w:r>
      <w:r w:rsidR="00791C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La partecipazione </w:t>
      </w:r>
      <w:r>
        <w:rPr>
          <w:color w:val="000000"/>
          <w:sz w:val="24"/>
          <w:szCs w:val="24"/>
        </w:rPr>
        <w:t>sociale è certamente una delle azioni positive per la prevenzione e il contenimento del disagio e il mantenimento dell’agio, poiché tra le cause del disagio vi è la mancanza di momenti ed esperienze aggregative che comportino un impegno individuale e la cr</w:t>
      </w:r>
      <w:r>
        <w:rPr>
          <w:color w:val="000000"/>
          <w:sz w:val="24"/>
          <w:szCs w:val="24"/>
        </w:rPr>
        <w:t>escita personale.</w:t>
      </w:r>
    </w:p>
    <w:p w:rsidR="009A7754" w:rsidRDefault="00837D50">
      <w:p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left="344" w:right="107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Tenuto conto che il Consiglio Comunale dei ragazzi e delle ragazze</w:t>
      </w:r>
    </w:p>
    <w:p w:rsidR="009A7754" w:rsidRDefault="009A775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9A7754" w:rsidRDefault="00837D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16"/>
        <w:jc w:val="both"/>
        <w:rPr>
          <w:color w:val="000000"/>
        </w:rPr>
      </w:pPr>
      <w:r>
        <w:rPr>
          <w:color w:val="000000"/>
          <w:sz w:val="24"/>
          <w:szCs w:val="24"/>
        </w:rPr>
        <w:t>E’ un vero e proprio organo istituzionale del Comune e uno strumento di dialogo e confronto con i ragazzi e con le istituzioni scolastiche.</w:t>
      </w:r>
    </w:p>
    <w:p w:rsidR="009A7754" w:rsidRDefault="00837D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0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Consente di perseguire </w:t>
      </w:r>
      <w:r>
        <w:rPr>
          <w:color w:val="000000"/>
          <w:sz w:val="24"/>
          <w:szCs w:val="24"/>
        </w:rPr>
        <w:t>importanti obiettivi educativi: scoprire il senso di appartenenza ad una comunità; conoscere spazi e beni del contesto socio-ambientale del territorio; conoscere il funzionamento dei servizi al cittadino; accrescere la percezione di fiducia negli altri; co</w:t>
      </w:r>
      <w:r>
        <w:rPr>
          <w:color w:val="000000"/>
          <w:sz w:val="24"/>
          <w:szCs w:val="24"/>
        </w:rPr>
        <w:t>noscere le forme e comprendere il valore della partecipazione democratica; condividere i valori della solidarietà; sensibilizzare ai valori della condivisione e della fratellanza umana; comprendere l’importanza degli organi politici locali; sviluppare comp</w:t>
      </w:r>
      <w:r>
        <w:rPr>
          <w:color w:val="000000"/>
          <w:sz w:val="24"/>
          <w:szCs w:val="24"/>
        </w:rPr>
        <w:t>etenze nella progettazione; incentivare la percezione delle diverse capacità individuali come risorsa per le dinamiche di gruppo.</w:t>
      </w:r>
    </w:p>
    <w:p w:rsidR="009B42F4" w:rsidRDefault="009B42F4">
      <w:p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left="344" w:right="109"/>
        <w:jc w:val="center"/>
        <w:rPr>
          <w:color w:val="000000"/>
          <w:sz w:val="24"/>
          <w:szCs w:val="24"/>
        </w:rPr>
      </w:pPr>
    </w:p>
    <w:p w:rsidR="009A7754" w:rsidRDefault="00837D50">
      <w:p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left="344" w:right="109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Tutto quanto ritenuto e considerato</w:t>
      </w:r>
    </w:p>
    <w:p w:rsidR="009A7754" w:rsidRDefault="00837D50">
      <w:pPr>
        <w:tabs>
          <w:tab w:val="left" w:pos="344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IMPEGNANO </w:t>
      </w:r>
    </w:p>
    <w:p w:rsidR="009A7754" w:rsidRDefault="00837D50">
      <w:pPr>
        <w:ind w:left="1530" w:right="15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Il Sindaco e la Giunta Comunale</w:t>
      </w:r>
    </w:p>
    <w:p w:rsidR="009A7754" w:rsidRDefault="009A7754">
      <w:pPr>
        <w:ind w:left="1530" w:right="1520"/>
        <w:jc w:val="center"/>
        <w:rPr>
          <w:b/>
          <w:sz w:val="24"/>
          <w:szCs w:val="24"/>
        </w:rPr>
      </w:pPr>
    </w:p>
    <w:p w:rsidR="009A7754" w:rsidRDefault="00837D50" w:rsidP="00717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hanging="229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Ad istituire il Consiglio comunale dei </w:t>
      </w:r>
      <w:r>
        <w:rPr>
          <w:color w:val="000000"/>
          <w:sz w:val="24"/>
          <w:szCs w:val="24"/>
        </w:rPr>
        <w:t>ragazzi e delle ragazze della Città di Orvieto,</w:t>
      </w:r>
      <w:r w:rsidR="00436AD1">
        <w:rPr>
          <w:color w:val="222222"/>
          <w:sz w:val="24"/>
          <w:szCs w:val="24"/>
        </w:rPr>
        <w:t xml:space="preserve"> previo studio </w:t>
      </w:r>
      <w:r w:rsidR="0028718E">
        <w:rPr>
          <w:color w:val="222222"/>
          <w:sz w:val="24"/>
          <w:szCs w:val="24"/>
        </w:rPr>
        <w:t xml:space="preserve">ed elaborazione </w:t>
      </w:r>
      <w:r w:rsidR="00436AD1">
        <w:rPr>
          <w:color w:val="222222"/>
          <w:sz w:val="24"/>
          <w:szCs w:val="24"/>
        </w:rPr>
        <w:t>di un proprio regolamento da definire in sede di II^ Commissione;</w:t>
      </w:r>
    </w:p>
    <w:p w:rsidR="00436AD1" w:rsidRPr="00436AD1" w:rsidRDefault="00837D50" w:rsidP="00717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12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Ad ascoltarne le istanze, coinvolgendolo attivamente nella vita amministrativa e nella tutela e progettazione </w:t>
      </w:r>
      <w:r>
        <w:rPr>
          <w:color w:val="000000"/>
          <w:sz w:val="24"/>
          <w:szCs w:val="24"/>
        </w:rPr>
        <w:t>dei beni e degli spazi comuni</w:t>
      </w:r>
      <w:r w:rsidR="00717B9B">
        <w:rPr>
          <w:color w:val="000000"/>
          <w:sz w:val="24"/>
          <w:szCs w:val="24"/>
        </w:rPr>
        <w:t>;</w:t>
      </w:r>
    </w:p>
    <w:p w:rsidR="009A7754" w:rsidRPr="00717B9B" w:rsidRDefault="00436AD1" w:rsidP="00717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4"/>
        </w:tabs>
        <w:ind w:right="112"/>
        <w:jc w:val="both"/>
        <w:rPr>
          <w:color w:val="000000"/>
        </w:rPr>
      </w:pPr>
      <w:r>
        <w:rPr>
          <w:color w:val="000000"/>
          <w:sz w:val="24"/>
          <w:szCs w:val="24"/>
        </w:rPr>
        <w:t>A sostenerlo sotto il profilo organizzativo e comunicativo anche in collaborazione con le scuole del territorio.</w:t>
      </w:r>
    </w:p>
    <w:p w:rsidR="00717B9B" w:rsidRDefault="00717B9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A7754" w:rsidRDefault="00837D50" w:rsidP="00D82F36">
      <w:pPr>
        <w:pBdr>
          <w:top w:val="nil"/>
          <w:left w:val="nil"/>
          <w:bottom w:val="nil"/>
          <w:right w:val="nil"/>
          <w:between w:val="nil"/>
        </w:pBdr>
        <w:ind w:firstLine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Cristina Croce</w:t>
      </w:r>
    </w:p>
    <w:p w:rsidR="00436AD1" w:rsidRDefault="00436AD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A7754" w:rsidRDefault="00837D50" w:rsidP="00D82F36">
      <w:pPr>
        <w:pBdr>
          <w:top w:val="nil"/>
          <w:left w:val="nil"/>
          <w:bottom w:val="nil"/>
          <w:right w:val="nil"/>
          <w:between w:val="nil"/>
        </w:pBdr>
        <w:ind w:firstLine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Federico Giovannini</w:t>
      </w:r>
    </w:p>
    <w:p w:rsidR="0028718E" w:rsidRDefault="00287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8718E" w:rsidRDefault="0028718E" w:rsidP="00D82F36">
      <w:pPr>
        <w:pBdr>
          <w:top w:val="nil"/>
          <w:left w:val="nil"/>
          <w:bottom w:val="nil"/>
          <w:right w:val="nil"/>
          <w:between w:val="nil"/>
        </w:pBdr>
        <w:ind w:firstLine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Roberta </w:t>
      </w:r>
      <w:r w:rsidR="009B42F4">
        <w:rPr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alazzetti</w:t>
      </w:r>
    </w:p>
    <w:p w:rsidR="0028718E" w:rsidRDefault="00287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8718E" w:rsidRDefault="0028718E" w:rsidP="00D82F36">
      <w:pPr>
        <w:pBdr>
          <w:top w:val="nil"/>
          <w:left w:val="nil"/>
          <w:bottom w:val="nil"/>
          <w:right w:val="nil"/>
          <w:between w:val="nil"/>
        </w:pBdr>
        <w:ind w:firstLine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Daniele Di Loreto</w:t>
      </w:r>
    </w:p>
    <w:p w:rsidR="0028718E" w:rsidRDefault="00287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8718E" w:rsidRDefault="0028718E" w:rsidP="00D82F36">
      <w:pPr>
        <w:pBdr>
          <w:top w:val="nil"/>
          <w:left w:val="nil"/>
          <w:bottom w:val="nil"/>
          <w:right w:val="nil"/>
          <w:between w:val="nil"/>
        </w:pBdr>
        <w:ind w:firstLine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Mauro Caiello</w:t>
      </w:r>
    </w:p>
    <w:p w:rsidR="0028718E" w:rsidRDefault="0028718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8718E" w:rsidRDefault="0028718E" w:rsidP="00D82F36">
      <w:pPr>
        <w:pBdr>
          <w:top w:val="nil"/>
          <w:left w:val="nil"/>
          <w:bottom w:val="nil"/>
          <w:right w:val="nil"/>
          <w:between w:val="nil"/>
        </w:pBdr>
        <w:ind w:firstLine="11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Stefano Biagioli</w:t>
      </w:r>
    </w:p>
    <w:p w:rsidR="009A7754" w:rsidRDefault="009A775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:rsidR="009A7754" w:rsidRDefault="009A775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p w:rsidR="009A7754" w:rsidRDefault="009A775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4"/>
          <w:szCs w:val="24"/>
        </w:rPr>
      </w:pPr>
    </w:p>
    <w:sectPr w:rsidR="009A7754" w:rsidSect="001456A5">
      <w:footerReference w:type="default" r:id="rId8"/>
      <w:pgSz w:w="11900" w:h="16840"/>
      <w:pgMar w:top="1340" w:right="1020" w:bottom="1380" w:left="1020" w:header="0" w:footer="11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114" w:rsidRDefault="00306114">
      <w:r>
        <w:separator/>
      </w:r>
    </w:p>
  </w:endnote>
  <w:endnote w:type="continuationSeparator" w:id="0">
    <w:p w:rsidR="00306114" w:rsidRDefault="00306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54" w:rsidRDefault="001456A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 w:rsidRPr="001456A5">
      <w:rPr>
        <w:noProof/>
      </w:rPr>
      <w:pict>
        <v:rect id="Rettangolo 1318784434" o:spid="_x0000_s2049" style="position:absolute;margin-left:442pt;margin-top:771pt;width:50.05pt;height:14.95pt;z-index:-25165875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" filled="f" stroked="f">
          <v:textbox inset="0,0,0,0">
            <w:txbxContent>
              <w:p w:rsidR="009A7754" w:rsidRDefault="00837D50">
                <w:pPr>
                  <w:spacing w:before="10"/>
                  <w:ind w:left="20" w:firstLine="20"/>
                  <w:textDirection w:val="btLr"/>
                </w:pPr>
                <w:r>
                  <w:rPr>
                    <w:color w:val="000000"/>
                  </w:rPr>
                  <w:t>Pag  PAGE 1 di 3</w:t>
                </w:r>
              </w:p>
            </w:txbxContent>
          </v:textbox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114" w:rsidRDefault="00306114">
      <w:r>
        <w:separator/>
      </w:r>
    </w:p>
  </w:footnote>
  <w:footnote w:type="continuationSeparator" w:id="0">
    <w:p w:rsidR="00306114" w:rsidRDefault="003061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883C40"/>
    <w:multiLevelType w:val="multilevel"/>
    <w:tmpl w:val="3BE054BA"/>
    <w:lvl w:ilvl="0">
      <w:numFmt w:val="bullet"/>
      <w:lvlText w:val="•"/>
      <w:lvlJc w:val="left"/>
      <w:pPr>
        <w:ind w:left="344" w:hanging="228"/>
      </w:pPr>
      <w:rPr>
        <w:rFonts w:ascii="Trebuchet MS" w:eastAsia="Trebuchet MS" w:hAnsi="Trebuchet MS" w:cs="Trebuchet MS"/>
        <w:sz w:val="24"/>
        <w:szCs w:val="24"/>
      </w:rPr>
    </w:lvl>
    <w:lvl w:ilvl="1">
      <w:numFmt w:val="bullet"/>
      <w:lvlText w:val="•"/>
      <w:lvlJc w:val="left"/>
      <w:pPr>
        <w:ind w:left="1292" w:hanging="228"/>
      </w:pPr>
    </w:lvl>
    <w:lvl w:ilvl="2">
      <w:numFmt w:val="bullet"/>
      <w:lvlText w:val="•"/>
      <w:lvlJc w:val="left"/>
      <w:pPr>
        <w:ind w:left="2244" w:hanging="228"/>
      </w:pPr>
    </w:lvl>
    <w:lvl w:ilvl="3">
      <w:numFmt w:val="bullet"/>
      <w:lvlText w:val="•"/>
      <w:lvlJc w:val="left"/>
      <w:pPr>
        <w:ind w:left="3196" w:hanging="228"/>
      </w:pPr>
    </w:lvl>
    <w:lvl w:ilvl="4">
      <w:numFmt w:val="bullet"/>
      <w:lvlText w:val="•"/>
      <w:lvlJc w:val="left"/>
      <w:pPr>
        <w:ind w:left="4148" w:hanging="228"/>
      </w:pPr>
    </w:lvl>
    <w:lvl w:ilvl="5">
      <w:numFmt w:val="bullet"/>
      <w:lvlText w:val="•"/>
      <w:lvlJc w:val="left"/>
      <w:pPr>
        <w:ind w:left="5100" w:hanging="228"/>
      </w:pPr>
    </w:lvl>
    <w:lvl w:ilvl="6">
      <w:numFmt w:val="bullet"/>
      <w:lvlText w:val="•"/>
      <w:lvlJc w:val="left"/>
      <w:pPr>
        <w:ind w:left="6052" w:hanging="227"/>
      </w:pPr>
    </w:lvl>
    <w:lvl w:ilvl="7">
      <w:numFmt w:val="bullet"/>
      <w:lvlText w:val="•"/>
      <w:lvlJc w:val="left"/>
      <w:pPr>
        <w:ind w:left="7004" w:hanging="228"/>
      </w:pPr>
    </w:lvl>
    <w:lvl w:ilvl="8">
      <w:numFmt w:val="bullet"/>
      <w:lvlText w:val="•"/>
      <w:lvlJc w:val="left"/>
      <w:pPr>
        <w:ind w:left="7956" w:hanging="227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A7754"/>
    <w:rsid w:val="001456A5"/>
    <w:rsid w:val="0028718E"/>
    <w:rsid w:val="00306114"/>
    <w:rsid w:val="00436AD1"/>
    <w:rsid w:val="00557307"/>
    <w:rsid w:val="00617111"/>
    <w:rsid w:val="00622386"/>
    <w:rsid w:val="00717B9B"/>
    <w:rsid w:val="00791C58"/>
    <w:rsid w:val="00815C75"/>
    <w:rsid w:val="00837D50"/>
    <w:rsid w:val="009A7754"/>
    <w:rsid w:val="009B42F4"/>
    <w:rsid w:val="00A24AB9"/>
    <w:rsid w:val="00B641B2"/>
    <w:rsid w:val="00C3381B"/>
    <w:rsid w:val="00C57CC5"/>
    <w:rsid w:val="00C638A2"/>
    <w:rsid w:val="00D82F36"/>
    <w:rsid w:val="00DD7FE0"/>
    <w:rsid w:val="00E349EB"/>
    <w:rsid w:val="00E425CD"/>
    <w:rsid w:val="00E912B9"/>
    <w:rsid w:val="00F45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56A5"/>
  </w:style>
  <w:style w:type="paragraph" w:styleId="Titolo1">
    <w:name w:val="heading 1"/>
    <w:basedOn w:val="Normale"/>
    <w:uiPriority w:val="9"/>
    <w:qFormat/>
    <w:rsid w:val="001456A5"/>
    <w:pPr>
      <w:ind w:left="1530" w:right="1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1456A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1456A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1456A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1456A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1456A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1456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1456A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1456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456A5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456A5"/>
    <w:pPr>
      <w:ind w:left="344" w:right="109" w:hanging="228"/>
      <w:jc w:val="both"/>
    </w:pPr>
  </w:style>
  <w:style w:type="paragraph" w:customStyle="1" w:styleId="TableParagraph">
    <w:name w:val="Table Paragraph"/>
    <w:basedOn w:val="Normale"/>
    <w:uiPriority w:val="1"/>
    <w:qFormat/>
    <w:rsid w:val="001456A5"/>
  </w:style>
  <w:style w:type="paragraph" w:styleId="Intestazione">
    <w:name w:val="header"/>
    <w:basedOn w:val="Normale"/>
    <w:link w:val="IntestazioneCarattere"/>
    <w:uiPriority w:val="99"/>
    <w:unhideWhenUsed/>
    <w:rsid w:val="004E04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044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04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0448"/>
    <w:rPr>
      <w:rFonts w:ascii="Times New Roman" w:eastAsia="Times New Roman" w:hAnsi="Times New Roman" w:cs="Times New Roman"/>
      <w:lang w:val="it-IT"/>
    </w:rPr>
  </w:style>
  <w:style w:type="paragraph" w:styleId="Sottotitolo">
    <w:name w:val="Subtitle"/>
    <w:basedOn w:val="Normale"/>
    <w:next w:val="Normale"/>
    <w:uiPriority w:val="11"/>
    <w:qFormat/>
    <w:rsid w:val="001456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s3g6Cra3CyP/qVK4CEBXj9Pqzw==">CgMxLjA4AHIhMXJlZEt6T3lJMUFXcXJmN3pJVE83c3RSMW9QaXdocmxR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3</vt:i4>
      </vt:variant>
    </vt:vector>
  </HeadingPairs>
  <TitlesOfParts>
    <vt:vector size="4" baseType="lpstr">
      <vt:lpstr/>
      <vt:lpstr>MOZIONE</vt:lpstr>
      <vt:lpstr>Premesso che</vt:lpstr>
      <vt:lpstr>Rilevato che:</vt:lpstr>
    </vt:vector>
  </TitlesOfParts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VOLPI</cp:lastModifiedBy>
  <cp:revision>2</cp:revision>
  <dcterms:created xsi:type="dcterms:W3CDTF">2025-11-21T11:03:00Z</dcterms:created>
  <dcterms:modified xsi:type="dcterms:W3CDTF">2025-11-21T11:03:00Z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2024-12-04T00:00:00Z</vt:filetime>
  </property>
</Properties>
</file>