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Al presidente del consiglio comunale di Orvieto</w:t>
      </w: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 xml:space="preserve">Dott. Stefano </w:t>
      </w:r>
      <w:proofErr w:type="spellStart"/>
      <w:r w:rsidRPr="00FB624C">
        <w:rPr>
          <w:rFonts w:asciiTheme="minorHAnsi" w:hAnsiTheme="minorHAnsi" w:cstheme="minorHAnsi"/>
        </w:rPr>
        <w:t>Olimpieri</w:t>
      </w:r>
      <w:proofErr w:type="spellEnd"/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Alla Sindaca del comune di Orvieto</w:t>
      </w: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</w:p>
    <w:p w:rsidR="00FB624C" w:rsidRPr="00FB624C" w:rsidRDefault="00FB624C" w:rsidP="00A740DF">
      <w:pPr>
        <w:ind w:left="5245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 xml:space="preserve">Dott.ssa Roberta </w:t>
      </w:r>
      <w:proofErr w:type="spellStart"/>
      <w:r w:rsidRPr="00FB624C">
        <w:rPr>
          <w:rFonts w:asciiTheme="minorHAnsi" w:hAnsiTheme="minorHAnsi" w:cstheme="minorHAnsi"/>
        </w:rPr>
        <w:t>Tardani</w:t>
      </w:r>
      <w:proofErr w:type="spellEnd"/>
    </w:p>
    <w:p w:rsidR="00FB624C" w:rsidRPr="00FB624C" w:rsidRDefault="00FB624C" w:rsidP="00FB624C">
      <w:pPr>
        <w:rPr>
          <w:rFonts w:asciiTheme="minorHAnsi" w:hAnsiTheme="minorHAnsi" w:cstheme="minorHAnsi"/>
        </w:rPr>
      </w:pPr>
    </w:p>
    <w:p w:rsidR="00FB624C" w:rsidRPr="000571B7" w:rsidRDefault="00FB624C" w:rsidP="000571B7">
      <w:pPr>
        <w:jc w:val="both"/>
        <w:rPr>
          <w:rFonts w:asciiTheme="minorHAnsi" w:hAnsiTheme="minorHAnsi" w:cstheme="minorHAnsi"/>
          <w:b/>
        </w:rPr>
      </w:pPr>
      <w:r w:rsidRPr="000571B7">
        <w:rPr>
          <w:rFonts w:asciiTheme="minorHAnsi" w:hAnsiTheme="minorHAnsi" w:cstheme="minorHAnsi"/>
          <w:b/>
        </w:rPr>
        <w:t>Oggetto: Interrogazione sullo stato dei lavori di riqualificazione e accessibilità della Necropoli etrusca del Crocifisso del Tufo</w:t>
      </w:r>
    </w:p>
    <w:p w:rsidR="00FB624C" w:rsidRPr="00FB624C" w:rsidRDefault="00FB624C" w:rsidP="00FB624C">
      <w:pPr>
        <w:rPr>
          <w:rFonts w:asciiTheme="minorHAnsi" w:hAnsiTheme="minorHAnsi" w:cstheme="minorHAnsi"/>
        </w:rPr>
      </w:pP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Premesso che</w:t>
      </w:r>
      <w:r w:rsidR="00B062C1">
        <w:rPr>
          <w:rFonts w:asciiTheme="minorHAnsi" w:hAnsiTheme="minorHAnsi" w:cstheme="minorHAnsi"/>
        </w:rPr>
        <w:t>: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</w:p>
    <w:p w:rsidR="00FB624C" w:rsidRPr="00B062C1" w:rsidRDefault="00FB624C" w:rsidP="00B062C1">
      <w:pPr>
        <w:pStyle w:val="Paragrafoelenco"/>
        <w:numPr>
          <w:ilvl w:val="0"/>
          <w:numId w:val="2"/>
        </w:numPr>
        <w:ind w:left="426" w:hanging="426"/>
        <w:jc w:val="both"/>
        <w:rPr>
          <w:rFonts w:asciiTheme="minorHAnsi" w:hAnsiTheme="minorHAnsi" w:cstheme="minorHAnsi"/>
        </w:rPr>
      </w:pPr>
      <w:r w:rsidRPr="00B062C1">
        <w:rPr>
          <w:rFonts w:asciiTheme="minorHAnsi" w:hAnsiTheme="minorHAnsi" w:cstheme="minorHAnsi"/>
        </w:rPr>
        <w:t>dai primi di ottobre 2025 la Necropoli etrusca del Crocifisso del Tufo è chiusa al pubblico per lavori di riqualificazione e miglioramento dell’accessibilità, che prevedono anche la realizzazione di un nuovo percorso con rampe per il superamento delle barriere architettoniche nell’ambito del PEBA;</w:t>
      </w:r>
    </w:p>
    <w:p w:rsidR="00FB624C" w:rsidRPr="00B062C1" w:rsidRDefault="00FB624C" w:rsidP="00B062C1">
      <w:pPr>
        <w:pStyle w:val="Paragrafoelenco"/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</w:rPr>
      </w:pPr>
      <w:r w:rsidRPr="00B062C1">
        <w:rPr>
          <w:rFonts w:asciiTheme="minorHAnsi" w:hAnsiTheme="minorHAnsi" w:cstheme="minorHAnsi"/>
        </w:rPr>
        <w:t>l’intervento, finalizzato a consentire una più ampia fruizione del sito anche alle persone con disabilità motoria, è stato promosso con il coinvolgimento del Comune di Orvieto e degli organi competenti del Ministero della Cultura;</w:t>
      </w:r>
    </w:p>
    <w:p w:rsidR="00FB624C" w:rsidRPr="00B062C1" w:rsidRDefault="00FB624C" w:rsidP="00B062C1">
      <w:pPr>
        <w:pStyle w:val="Paragrafoelenco"/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</w:rPr>
      </w:pPr>
      <w:r w:rsidRPr="00B062C1">
        <w:rPr>
          <w:rFonts w:asciiTheme="minorHAnsi" w:hAnsiTheme="minorHAnsi" w:cstheme="minorHAnsi"/>
        </w:rPr>
        <w:t>a oltre dieci mesi dalla chiusura appare necessario conoscere lo stato di avanzamento dei lavori, gli eventuali ritardi e i tempi previsti per la riapertura;</w:t>
      </w:r>
    </w:p>
    <w:p w:rsidR="00FB624C" w:rsidRPr="00B062C1" w:rsidRDefault="00FB624C" w:rsidP="00B062C1">
      <w:pPr>
        <w:pStyle w:val="Paragrafoelenco"/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</w:rPr>
      </w:pPr>
      <w:r w:rsidRPr="00B062C1">
        <w:rPr>
          <w:rFonts w:asciiTheme="minorHAnsi" w:hAnsiTheme="minorHAnsi" w:cstheme="minorHAnsi"/>
        </w:rPr>
        <w:t>nell’ambito dell’intervento risulta particolarmente evidente la realizzazione di strutture e rampe in cemento armato, delle quali appare opportuno verificare la piena compatibilità con il valore archeologico e paesaggistico dell’area e con il relativo regime di tutela;</w:t>
      </w:r>
    </w:p>
    <w:p w:rsidR="00FB624C" w:rsidRPr="00B062C1" w:rsidRDefault="00FB624C" w:rsidP="00B062C1">
      <w:pPr>
        <w:pStyle w:val="Paragrafoelenco"/>
        <w:numPr>
          <w:ilvl w:val="0"/>
          <w:numId w:val="3"/>
        </w:numPr>
        <w:ind w:left="426" w:hanging="426"/>
        <w:jc w:val="both"/>
        <w:rPr>
          <w:rFonts w:asciiTheme="minorHAnsi" w:hAnsiTheme="minorHAnsi" w:cstheme="minorHAnsi"/>
        </w:rPr>
      </w:pPr>
      <w:r w:rsidRPr="00B062C1">
        <w:rPr>
          <w:rFonts w:asciiTheme="minorHAnsi" w:hAnsiTheme="minorHAnsi" w:cstheme="minorHAnsi"/>
        </w:rPr>
        <w:t xml:space="preserve">le aree archeologiche del Crocifisso del Tufo e della </w:t>
      </w:r>
      <w:proofErr w:type="spellStart"/>
      <w:r w:rsidRPr="00B062C1">
        <w:rPr>
          <w:rFonts w:asciiTheme="minorHAnsi" w:hAnsiTheme="minorHAnsi" w:cstheme="minorHAnsi"/>
        </w:rPr>
        <w:t>Cannicella</w:t>
      </w:r>
      <w:proofErr w:type="spellEnd"/>
      <w:r w:rsidRPr="00B062C1">
        <w:rPr>
          <w:rFonts w:asciiTheme="minorHAnsi" w:hAnsiTheme="minorHAnsi" w:cstheme="minorHAnsi"/>
        </w:rPr>
        <w:t xml:space="preserve"> necessitano inoltre di adeguati interventi di pulizia, </w:t>
      </w:r>
      <w:proofErr w:type="spellStart"/>
      <w:r w:rsidRPr="00B062C1">
        <w:rPr>
          <w:rFonts w:asciiTheme="minorHAnsi" w:hAnsiTheme="minorHAnsi" w:cstheme="minorHAnsi"/>
        </w:rPr>
        <w:t>sfalcio</w:t>
      </w:r>
      <w:proofErr w:type="spellEnd"/>
      <w:r w:rsidRPr="00B062C1">
        <w:rPr>
          <w:rFonts w:asciiTheme="minorHAnsi" w:hAnsiTheme="minorHAnsi" w:cstheme="minorHAnsi"/>
        </w:rPr>
        <w:t xml:space="preserve"> e manutenzione, anche al fine di prevenire situazioni di degrado e rischio di incendio;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Considerato che</w:t>
      </w:r>
      <w:r w:rsidR="00B062C1">
        <w:rPr>
          <w:rFonts w:asciiTheme="minorHAnsi" w:hAnsiTheme="minorHAnsi" w:cstheme="minorHAnsi"/>
        </w:rPr>
        <w:t xml:space="preserve"> </w:t>
      </w:r>
      <w:r w:rsidRPr="00FB624C">
        <w:rPr>
          <w:rFonts w:asciiTheme="minorHAnsi" w:hAnsiTheme="minorHAnsi" w:cstheme="minorHAnsi"/>
        </w:rPr>
        <w:t xml:space="preserve">la Necropoli del Crocifisso del Tufo rappresenta uno dei più importanti complessi archeologici etruschi, databile prevalentemente al </w:t>
      </w:r>
      <w:proofErr w:type="spellStart"/>
      <w:r w:rsidRPr="00FB624C">
        <w:rPr>
          <w:rFonts w:asciiTheme="minorHAnsi" w:hAnsiTheme="minorHAnsi" w:cstheme="minorHAnsi"/>
        </w:rPr>
        <w:t>VI</w:t>
      </w:r>
      <w:proofErr w:type="spellEnd"/>
      <w:r w:rsidRPr="00FB624C">
        <w:rPr>
          <w:rFonts w:asciiTheme="minorHAnsi" w:hAnsiTheme="minorHAnsi" w:cstheme="minorHAnsi"/>
        </w:rPr>
        <w:t xml:space="preserve"> secolo a.C., caratterizzato da una straordinaria organizzazione “urbana” delle tombe lungo assi viari regolari e dalla presenza di numerose iscrizioni funerarie;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</w:p>
    <w:p w:rsidR="00FB624C" w:rsidRPr="00B062C1" w:rsidRDefault="00B062C1" w:rsidP="00B062C1"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</w:t>
      </w:r>
      <w:r w:rsidR="00FB624C" w:rsidRPr="00B062C1">
        <w:rPr>
          <w:rFonts w:asciiTheme="minorHAnsi" w:hAnsiTheme="minorHAnsi" w:cstheme="minorHAnsi"/>
          <w:b/>
        </w:rPr>
        <w:t>i interroga la Sindaca e la Giunta per sapere: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 xml:space="preserve">1. quale sia lo stato di avanzamento dei lavori, se vi siano ritardi rispetto al </w:t>
      </w:r>
      <w:proofErr w:type="spellStart"/>
      <w:r w:rsidRPr="00FB624C">
        <w:rPr>
          <w:rFonts w:asciiTheme="minorHAnsi" w:hAnsiTheme="minorHAnsi" w:cstheme="minorHAnsi"/>
        </w:rPr>
        <w:t>cronoprogramma</w:t>
      </w:r>
      <w:proofErr w:type="spellEnd"/>
      <w:r w:rsidRPr="00FB624C">
        <w:rPr>
          <w:rFonts w:asciiTheme="minorHAnsi" w:hAnsiTheme="minorHAnsi" w:cstheme="minorHAnsi"/>
        </w:rPr>
        <w:t xml:space="preserve"> originario e quale sia la data attualmente prevista per la conclusione dell’intervento e la riapertura della Necropoli;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2. se l’Amministrazione sia a conoscenza delle caratteristiche progettuali e dei materiali utilizzati e, in particolare, della realizzazione di rampe e strutture in cemento armato all’interno dell’area archeologica vincolata;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 xml:space="preserve">3. se per tali opere siano stati acquisiti tutti i pareri, nulla osta e autorizzazioni previsti in materia di tutela archeologica, paesaggistica e dei beni culturali e quali soluzioni siano </w:t>
      </w:r>
      <w:r w:rsidRPr="00FB624C">
        <w:rPr>
          <w:rFonts w:asciiTheme="minorHAnsi" w:hAnsiTheme="minorHAnsi" w:cstheme="minorHAnsi"/>
        </w:rPr>
        <w:lastRenderedPageBreak/>
        <w:t>previste per garantire l’adeguato inserimento delle nuove strutture nel contesto della Necropoli;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 xml:space="preserve">4. se l’Amministrazione abbia provveduto o intenda provvedere a sollecitare gli uffici competenti del Ministero della Cultura affinché siano effettuati gli interventi di pulizia, </w:t>
      </w:r>
      <w:proofErr w:type="spellStart"/>
      <w:r w:rsidRPr="00FB624C">
        <w:rPr>
          <w:rFonts w:asciiTheme="minorHAnsi" w:hAnsiTheme="minorHAnsi" w:cstheme="minorHAnsi"/>
        </w:rPr>
        <w:t>sfalcio</w:t>
      </w:r>
      <w:proofErr w:type="spellEnd"/>
      <w:r w:rsidRPr="00FB624C">
        <w:rPr>
          <w:rFonts w:asciiTheme="minorHAnsi" w:hAnsiTheme="minorHAnsi" w:cstheme="minorHAnsi"/>
        </w:rPr>
        <w:t xml:space="preserve"> e manutenzione delle aree archeologiche del Crocifisso del Tufo e della </w:t>
      </w:r>
      <w:proofErr w:type="spellStart"/>
      <w:r w:rsidRPr="00FB624C">
        <w:rPr>
          <w:rFonts w:asciiTheme="minorHAnsi" w:hAnsiTheme="minorHAnsi" w:cstheme="minorHAnsi"/>
        </w:rPr>
        <w:t>Cannicella</w:t>
      </w:r>
      <w:proofErr w:type="spellEnd"/>
      <w:r w:rsidRPr="00FB624C">
        <w:rPr>
          <w:rFonts w:asciiTheme="minorHAnsi" w:hAnsiTheme="minorHAnsi" w:cstheme="minorHAnsi"/>
        </w:rPr>
        <w:t>, anche al fine di prevenire rischi di incendio e situazioni di incuria;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5. se l’Amministrazione intenda informare il Consiglio comunale e la cittadinanza sui tempi previsti per il completamento dei lavori e la riapertura al pubblico della Necropoli.</w:t>
      </w:r>
    </w:p>
    <w:p w:rsidR="00FB624C" w:rsidRPr="00FB624C" w:rsidRDefault="00FB624C" w:rsidP="00DD2155">
      <w:pPr>
        <w:jc w:val="both"/>
        <w:rPr>
          <w:rFonts w:asciiTheme="minorHAnsi" w:hAnsiTheme="minorHAnsi" w:cstheme="minorHAnsi"/>
        </w:rPr>
      </w:pPr>
    </w:p>
    <w:p w:rsidR="0027191F" w:rsidRPr="00FB624C" w:rsidRDefault="00FB624C" w:rsidP="00FB624C">
      <w:pPr>
        <w:rPr>
          <w:rFonts w:asciiTheme="minorHAnsi" w:hAnsiTheme="minorHAnsi" w:cstheme="minorHAnsi"/>
        </w:rPr>
      </w:pPr>
      <w:r w:rsidRPr="00FB624C">
        <w:rPr>
          <w:rFonts w:asciiTheme="minorHAnsi" w:hAnsiTheme="minorHAnsi" w:cstheme="minorHAnsi"/>
        </w:rPr>
        <w:t>Gruppo consiliare PD</w:t>
      </w:r>
    </w:p>
    <w:sectPr w:rsidR="0027191F" w:rsidRPr="00FB624C" w:rsidSect="0027191F">
      <w:pgSz w:w="11906" w:h="16838"/>
      <w:pgMar w:top="1440" w:right="1440" w:bottom="1440" w:left="1440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F73BF9"/>
    <w:multiLevelType w:val="hybridMultilevel"/>
    <w:tmpl w:val="23AA80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BE47FB"/>
    <w:multiLevelType w:val="hybridMultilevel"/>
    <w:tmpl w:val="4922EA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AE60E1"/>
    <w:multiLevelType w:val="hybridMultilevel"/>
    <w:tmpl w:val="E974BAD8"/>
    <w:lvl w:ilvl="0" w:tplc="A70E6EE6">
      <w:start w:val="1"/>
      <w:numFmt w:val="bullet"/>
      <w:lvlText w:val="●"/>
      <w:lvlJc w:val="left"/>
      <w:pPr>
        <w:ind w:left="720" w:hanging="360"/>
      </w:pPr>
    </w:lvl>
    <w:lvl w:ilvl="1" w:tplc="DE982AF2">
      <w:start w:val="1"/>
      <w:numFmt w:val="bullet"/>
      <w:lvlText w:val="○"/>
      <w:lvlJc w:val="left"/>
      <w:pPr>
        <w:ind w:left="1440" w:hanging="360"/>
      </w:pPr>
    </w:lvl>
    <w:lvl w:ilvl="2" w:tplc="014E7556">
      <w:start w:val="1"/>
      <w:numFmt w:val="bullet"/>
      <w:lvlText w:val="■"/>
      <w:lvlJc w:val="left"/>
      <w:pPr>
        <w:ind w:left="2160" w:hanging="360"/>
      </w:pPr>
    </w:lvl>
    <w:lvl w:ilvl="3" w:tplc="CB46CEF8">
      <w:start w:val="1"/>
      <w:numFmt w:val="bullet"/>
      <w:lvlText w:val="●"/>
      <w:lvlJc w:val="left"/>
      <w:pPr>
        <w:ind w:left="2880" w:hanging="360"/>
      </w:pPr>
    </w:lvl>
    <w:lvl w:ilvl="4" w:tplc="A316274E">
      <w:start w:val="1"/>
      <w:numFmt w:val="bullet"/>
      <w:lvlText w:val="○"/>
      <w:lvlJc w:val="left"/>
      <w:pPr>
        <w:ind w:left="3600" w:hanging="360"/>
      </w:pPr>
    </w:lvl>
    <w:lvl w:ilvl="5" w:tplc="64BC0C8E">
      <w:start w:val="1"/>
      <w:numFmt w:val="bullet"/>
      <w:lvlText w:val="■"/>
      <w:lvlJc w:val="left"/>
      <w:pPr>
        <w:ind w:left="4320" w:hanging="360"/>
      </w:pPr>
    </w:lvl>
    <w:lvl w:ilvl="6" w:tplc="12467BF0">
      <w:start w:val="1"/>
      <w:numFmt w:val="bullet"/>
      <w:lvlText w:val="●"/>
      <w:lvlJc w:val="left"/>
      <w:pPr>
        <w:ind w:left="5040" w:hanging="360"/>
      </w:pPr>
    </w:lvl>
    <w:lvl w:ilvl="7" w:tplc="3856AE12">
      <w:start w:val="1"/>
      <w:numFmt w:val="bullet"/>
      <w:lvlText w:val="●"/>
      <w:lvlJc w:val="left"/>
      <w:pPr>
        <w:ind w:left="5760" w:hanging="360"/>
      </w:pPr>
    </w:lvl>
    <w:lvl w:ilvl="8" w:tplc="53F41440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2"/>
    <w:lvlOverride w:ilvl="0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hyphenationZone w:val="283"/>
  <w:characterSpacingControl w:val="doNotCompress"/>
  <w:compat/>
  <w:rsids>
    <w:rsidRoot w:val="0027191F"/>
    <w:rsid w:val="000571B7"/>
    <w:rsid w:val="00193CF6"/>
    <w:rsid w:val="0024740B"/>
    <w:rsid w:val="0027191F"/>
    <w:rsid w:val="00A740DF"/>
    <w:rsid w:val="00B062C1"/>
    <w:rsid w:val="00DD2155"/>
    <w:rsid w:val="00E553A7"/>
    <w:rsid w:val="00FB6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553A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qFormat/>
    <w:rsid w:val="0027191F"/>
    <w:rPr>
      <w:sz w:val="56"/>
      <w:szCs w:val="56"/>
    </w:rPr>
  </w:style>
  <w:style w:type="paragraph" w:customStyle="1" w:styleId="Heading1">
    <w:name w:val="Heading 1"/>
    <w:qFormat/>
    <w:rsid w:val="0027191F"/>
    <w:rPr>
      <w:color w:val="2E74B5"/>
      <w:sz w:val="32"/>
      <w:szCs w:val="32"/>
    </w:rPr>
  </w:style>
  <w:style w:type="paragraph" w:customStyle="1" w:styleId="Heading2">
    <w:name w:val="Heading 2"/>
    <w:qFormat/>
    <w:rsid w:val="0027191F"/>
    <w:rPr>
      <w:color w:val="2E74B5"/>
      <w:sz w:val="26"/>
      <w:szCs w:val="26"/>
    </w:rPr>
  </w:style>
  <w:style w:type="paragraph" w:customStyle="1" w:styleId="Heading3">
    <w:name w:val="Heading 3"/>
    <w:qFormat/>
    <w:rsid w:val="0027191F"/>
    <w:rPr>
      <w:color w:val="1F4D78"/>
    </w:rPr>
  </w:style>
  <w:style w:type="paragraph" w:customStyle="1" w:styleId="Heading4">
    <w:name w:val="Heading 4"/>
    <w:qFormat/>
    <w:rsid w:val="0027191F"/>
    <w:rPr>
      <w:i/>
      <w:iCs/>
      <w:color w:val="2E74B5"/>
    </w:rPr>
  </w:style>
  <w:style w:type="paragraph" w:customStyle="1" w:styleId="Heading5">
    <w:name w:val="Heading 5"/>
    <w:qFormat/>
    <w:rsid w:val="0027191F"/>
    <w:rPr>
      <w:color w:val="2E74B5"/>
    </w:rPr>
  </w:style>
  <w:style w:type="paragraph" w:customStyle="1" w:styleId="Heading6">
    <w:name w:val="Heading 6"/>
    <w:qFormat/>
    <w:rsid w:val="0027191F"/>
    <w:rPr>
      <w:color w:val="1F4D78"/>
    </w:rPr>
  </w:style>
  <w:style w:type="paragraph" w:customStyle="1" w:styleId="Enfasigrassetto1">
    <w:name w:val="Enfasi (grassetto)1"/>
    <w:qFormat/>
    <w:rsid w:val="0027191F"/>
    <w:rPr>
      <w:b/>
      <w:bCs/>
    </w:rPr>
  </w:style>
  <w:style w:type="paragraph" w:styleId="Paragrafoelenco">
    <w:name w:val="List Paragraph"/>
    <w:qFormat/>
    <w:rsid w:val="0027191F"/>
  </w:style>
  <w:style w:type="character" w:styleId="Collegamentoipertestuale">
    <w:name w:val="Hyperlink"/>
    <w:uiPriority w:val="99"/>
    <w:unhideWhenUsed/>
    <w:rsid w:val="0027191F"/>
    <w:rPr>
      <w:color w:val="0563C1"/>
      <w:u w:val="single"/>
    </w:rPr>
  </w:style>
  <w:style w:type="character" w:styleId="Rimandonotaapidipagina">
    <w:name w:val="footnote reference"/>
    <w:uiPriority w:val="99"/>
    <w:semiHidden/>
    <w:unhideWhenUsed/>
    <w:rsid w:val="0027191F"/>
    <w:rPr>
      <w:vertAlign w:val="superscript"/>
    </w:rPr>
  </w:style>
  <w:style w:type="paragraph" w:styleId="Testonotaapidipagina">
    <w:name w:val="footnote text"/>
    <w:link w:val="TestonotaapidipaginaCarattere"/>
    <w:uiPriority w:val="99"/>
    <w:semiHidden/>
    <w:unhideWhenUsed/>
    <w:rsid w:val="0027191F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unhideWhenUsed/>
    <w:rsid w:val="0027191F"/>
    <w:rPr>
      <w:sz w:val="20"/>
      <w:szCs w:val="20"/>
    </w:rPr>
  </w:style>
  <w:style w:type="character" w:styleId="Rimandonotadichiusura">
    <w:name w:val="endnote reference"/>
    <w:uiPriority w:val="99"/>
    <w:semiHidden/>
    <w:unhideWhenUsed/>
    <w:rsid w:val="0027191F"/>
    <w:rPr>
      <w:vertAlign w:val="superscript"/>
    </w:rPr>
  </w:style>
  <w:style w:type="paragraph" w:styleId="Testonotadichiusura">
    <w:name w:val="endnote text"/>
    <w:link w:val="TestonotadichiusuraCarattere"/>
    <w:uiPriority w:val="99"/>
    <w:semiHidden/>
    <w:unhideWhenUsed/>
    <w:rsid w:val="0027191F"/>
    <w:rPr>
      <w:sz w:val="20"/>
      <w:szCs w:val="20"/>
    </w:rPr>
  </w:style>
  <w:style w:type="character" w:customStyle="1" w:styleId="TestonotadichiusuraCarattere">
    <w:name w:val="Testo nota di chiusura Carattere"/>
    <w:link w:val="Testonotadichiusura"/>
    <w:uiPriority w:val="99"/>
    <w:semiHidden/>
    <w:unhideWhenUsed/>
    <w:rsid w:val="0027191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461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VOLPI</cp:lastModifiedBy>
  <cp:revision>7</cp:revision>
  <dcterms:created xsi:type="dcterms:W3CDTF">2026-08-21T09:07:00Z</dcterms:created>
  <dcterms:modified xsi:type="dcterms:W3CDTF">2026-08-21T09:09:00Z</dcterms:modified>
</cp:coreProperties>
</file>